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A0586">
      <w:pPr>
        <w:spacing w:line="360" w:lineRule="auto"/>
        <w:jc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10972800</wp:posOffset>
            </wp:positionV>
            <wp:extent cx="419100" cy="4826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 xml:space="preserve">2025年普通高中学业水平选择性考试（江苏卷）  </w:t>
      </w:r>
    </w:p>
    <w:p w14:paraId="475EDFF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7650050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本试卷满分100分，考试时间75分钟。</w:t>
      </w:r>
    </w:p>
    <w:p w14:paraId="1A52CBD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一、单项选择题：共15题，每题3分，共45分。每题只有一个选项最符合题意。</w:t>
      </w:r>
    </w:p>
    <w:p w14:paraId="6DA0D7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新石器时代晚期，镶嵌绿松石的玉石器在葬仪和祭祀中扮演重要角色。绿松石的镶嵌方法中最具代表性的有孔嵌法和平面镶嵌法。孔嵌法沿黄河自东向西传播；平面镶嵌法与之相反，从甘肃、青海地区向黄河中下游传播。这可用于印证（   ）</w:t>
      </w:r>
    </w:p>
    <w:p w14:paraId="310D176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南北方生产工艺的融合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母系氏族社会审美的改变</w:t>
      </w:r>
    </w:p>
    <w:p w14:paraId="4BB438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原始文化的传播与交流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阶级社会等级秩序的建立</w:t>
      </w:r>
    </w:p>
    <w:p w14:paraId="6E14F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“岳麓秦简”中记录的秦人丈量土地时计算圆面积的4种简易方法，可与《九章算术》“周三径一”的算法互证，展现出古老简牍里的科技之光。这体现了（   ）</w:t>
      </w:r>
    </w:p>
    <w:p w14:paraId="505C9F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秦朝政府重视卜筮之术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先民对自然规律的探索</w:t>
      </w:r>
    </w:p>
    <w:p w14:paraId="77D7B8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手工业生产的实际需求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国家推行均田制的努力</w:t>
      </w:r>
    </w:p>
    <w:p w14:paraId="26C1C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汉画像砖是模印或捺印有图像的砖，风格处于绘画与雕塑之间。如图是一幅表现劳动人民插秧场景的画像砖拓片。该图（   ）</w:t>
      </w:r>
    </w:p>
    <w:p w14:paraId="75A6B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695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845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反映了坞堡庄园经济的具体特点</w:t>
      </w:r>
    </w:p>
    <w:p w14:paraId="75528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佐证了古代农业生产技术的成熟</w:t>
      </w:r>
    </w:p>
    <w:p w14:paraId="75394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表现了“以形写神”的绘画风格</w:t>
      </w:r>
    </w:p>
    <w:p w14:paraId="52678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提供了研究汉代经济的史料依据</w:t>
      </w:r>
    </w:p>
    <w:p w14:paraId="5B9184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晋朝葛洪著《肘后备急方》，其“肘后”者，犹言“袖珍”，意为可藏于手肘之后；“备急”者，“预先备办临急可用之要方”。唐朝孙思邈认为，“人命至重，有贵千金”，遂著成《千金方》。两书取名的要义共同反映出，中医药学注重（   ）</w:t>
      </w:r>
    </w:p>
    <w:p w14:paraId="496B5D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以人为本的价值追求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对药物功用的理论总结</w:t>
      </w:r>
    </w:p>
    <w:p w14:paraId="28FCCB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人与自然的有机联系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药方与辨证施治的结合</w:t>
      </w:r>
    </w:p>
    <w:p w14:paraId="47C7D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下表呈现的是明代小说中描写商业活动的片段。该表折射出当时（   ）</w:t>
      </w:r>
    </w:p>
    <w:tbl>
      <w:tblPr>
        <w:tblStyle w:val="4"/>
        <w:tblW w:w="7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70"/>
        <w:gridCol w:w="6420"/>
      </w:tblGrid>
      <w:tr w14:paraId="23B5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B5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</w:t>
            </w:r>
          </w:p>
        </w:tc>
        <w:tc>
          <w:tcPr>
            <w:tcW w:w="6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66B4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内容</w:t>
            </w:r>
          </w:p>
        </w:tc>
      </w:tr>
      <w:tr w14:paraId="160C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34FB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《警世通言》</w:t>
            </w:r>
          </w:p>
        </w:tc>
        <w:tc>
          <w:tcPr>
            <w:tcW w:w="6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CBD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南京国子监监生孙富“徽州新安人氏，家资巨万”，世代</w:t>
            </w:r>
            <w:r>
              <w:rPr>
                <w:rFonts w:ascii="宋体" w:hAnsi="宋体" w:eastAsia="宋体" w:cs="宋体"/>
                <w:color w:val="000000"/>
                <w:position w:val="-1"/>
              </w:rPr>
              <w:drawing>
                <wp:inline distT="0" distB="0" distL="114300" distR="114300">
                  <wp:extent cx="139700" cy="190500"/>
                  <wp:effectExtent l="0" t="0" r="12700" b="0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扬州经营盐业</w:t>
            </w:r>
          </w:p>
        </w:tc>
      </w:tr>
      <w:tr w14:paraId="129ED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EA3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《杜骗新书》</w:t>
            </w:r>
          </w:p>
        </w:tc>
        <w:tc>
          <w:tcPr>
            <w:tcW w:w="6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8BA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徽州人吴胜理“在苏州府开铺，收买各样色布，揭行生意最大，四方买者极多，每日有几十两银交易”</w:t>
            </w:r>
          </w:p>
        </w:tc>
      </w:tr>
      <w:tr w14:paraId="11817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B3B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《石点头》</w:t>
            </w:r>
          </w:p>
        </w:tc>
        <w:tc>
          <w:tcPr>
            <w:tcW w:w="6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BE8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在扬州，来元（人名）“走到一个典铺里来当银，这典铺是姓程的徽州人所开”</w:t>
            </w:r>
          </w:p>
        </w:tc>
      </w:tr>
    </w:tbl>
    <w:p w14:paraId="1EA7E0C6">
      <w:pPr>
        <w:spacing w:line="360" w:lineRule="auto"/>
        <w:jc w:val="left"/>
        <w:textAlignment w:val="center"/>
        <w:rPr>
          <w:color w:val="000000"/>
        </w:rPr>
      </w:pPr>
    </w:p>
    <w:p w14:paraId="2ABE59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白银资本催生典当业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徽商热衷资助文学创作</w:t>
      </w:r>
    </w:p>
    <w:p w14:paraId="3B3821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地域性商人群体活跃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货物交易依赖长途贩运</w:t>
      </w:r>
    </w:p>
    <w:p w14:paraId="343E7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1898年，甲午进士李家驹赴日本考察学务，认识到体育的重要性。1906年，他出任京师大学堂总监督。同年在学堂举办的运动会上，李家驹脱下官袍，参加短跑比赛，轰动一时。他的举动受到开明报章的大力榆扬，带动了中国学校体育运动的发展。这反映出（   ）</w:t>
      </w:r>
    </w:p>
    <w:p w14:paraId="47BC70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教育领域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嬗变革新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欧美体育运动开始传入</w:t>
      </w:r>
    </w:p>
    <w:p w14:paraId="016B77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清末新政取得了成功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新学堂与科举制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对立</w:t>
      </w:r>
    </w:p>
    <w:p w14:paraId="179A07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一战前后，中国新式农场得到发展。在江苏，张睿创办的通海垦牧公司实行股份制，“废灶兴垦”；在黑龙江，以浙江财阀为背景的农场从俄国购入拖拉机，用于耕作。这些现象说明（   ）</w:t>
      </w:r>
    </w:p>
    <w:p w14:paraId="323FD4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资本主义经营方式的扩展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北洋政府急于改善财政状况</w:t>
      </w:r>
    </w:p>
    <w:p w14:paraId="0D63FE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民族工业在全国均衡发展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实业救国思想被各阶层接受</w:t>
      </w:r>
    </w:p>
    <w:p w14:paraId="4FE8AD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下图是《救国时报》1937年5月23日刊登的一幅画作。画中士兵手举抗日联军旗帜，头戴布琼尼军帽（曾是苏联红军战士的标配），与日寇英勇战斗。该画作意在表现（   ）</w:t>
      </w:r>
    </w:p>
    <w:p w14:paraId="0281C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95500" cy="2124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6E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全民族团结抗战局面的形成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抗日联军后勤装备保障充足</w:t>
      </w:r>
    </w:p>
    <w:p w14:paraId="082DAF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苏军进入东北支援中国抗战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中国共产党收复失地的信念</w:t>
      </w:r>
    </w:p>
    <w:p w14:paraId="07E1A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1978年，香港“船王”包玉刚表示愿意捐1000万美元在北京建一座饭店，同时表达了以他父亲名字命名的愿望。邓小平同志果断拍板同意。1985年，兆龙饭店落成，邓小平同志破例出席开幕典礼。这表明当时中国（   ）</w:t>
      </w:r>
    </w:p>
    <w:p w14:paraId="0B4637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推行市场经济迫在眉睫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坚持对外开放毫不动摇</w:t>
      </w:r>
    </w:p>
    <w:p w14:paraId="6D73D5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提出了建立经济特区的设想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实行“引进来”“走出去”战略</w:t>
      </w:r>
    </w:p>
    <w:p w14:paraId="2EC2B9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近代以来，中国学者开始关注埃及古文字。受条件所限，他们推断“原始造字之意，六者俱备，原无分于中外也”。1905年，湖南巡抚端方出国考察宪政时途经埃及，拓印了不少碑文，让国人有了确切的研究材料，如图是其中的一幅。由此可知（   ）</w:t>
      </w:r>
    </w:p>
    <w:p w14:paraId="255D08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38200" cy="14763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AAB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中埃古文字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造字方法相同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两国有相似的历史文化内涵</w:t>
      </w:r>
    </w:p>
    <w:p w14:paraId="2BC171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不同文明之间需要理解交流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清朝官员接受西方政治思想</w:t>
      </w:r>
    </w:p>
    <w:p w14:paraId="58A87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中世纪前期，西欧农奴的生活十分困苦。一顿上好的饭食“通常由两道饭菜组成，一道是粥状的麦糊，一道是麦糊状的粥”。到13世纪，由于饥馑出现的次数大为减少，且饮食中增加了豆类，农奴变得强壮。这一变化缘于（   ）</w:t>
      </w:r>
    </w:p>
    <w:p w14:paraId="184C6B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城市发展的影响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社会秩序趋于稳定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美洲物种的传入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封君封臣制度解体</w:t>
      </w:r>
    </w:p>
    <w:p w14:paraId="1A932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伏尔泰在《路易十四时代》中描写了有关巴士底狱神秘囚犯“铁面人”的逸闻。此人总戴着面具，没人知道他的真实姓名、所犯何罪。该书出版后引起很大的反响，“铁面人”的传闻逐渐在民众中“创造出一个无限专横权力的想象世界”。这（   ）</w:t>
      </w:r>
    </w:p>
    <w:p w14:paraId="54434F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有利于出版行业的兴起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引发了民众攻占巴士底狱</w:t>
      </w:r>
    </w:p>
    <w:p w14:paraId="16351F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推动了启蒙运动的产生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冲击了封建君主专制统治</w:t>
      </w:r>
    </w:p>
    <w:p w14:paraId="7BB05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19世纪七八十年代，印度人经营的棉纺织工厂由61家增至156家。民众希望进一步开拓国货市场。1896年，加尔各答举办了国货博览会。1906年，提拉克向人民呼吁：“你们的未来掌握在自己手中……从明天起你们就自由了。”这表明印度（   ）</w:t>
      </w:r>
    </w:p>
    <w:p w14:paraId="06B073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传统棉纺织业得到迅速发展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民族解放运动取得初步胜利</w:t>
      </w:r>
    </w:p>
    <w:p w14:paraId="15593C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民族资产阶级获得广泛支持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经济发展推动民族意识增强</w:t>
      </w:r>
    </w:p>
    <w:p w14:paraId="0C060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T-34坦克曾是苏联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战坦克，其总设计师科什金力主采用倾斜式前装甲板，使得防护性能大为提高。1940年2月，他带病与团队将样车开到莫斯科参加测试，坦克获批量产。他却因坚持工作导致病情加重而去世。由此可知，科什金的研发活动（   ）</w:t>
      </w:r>
    </w:p>
    <w:p w14:paraId="6E5B52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得益于国家灵活的管理体制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彰显了苏联世界第一的国力</w:t>
      </w:r>
    </w:p>
    <w:p w14:paraId="20FE78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体现了科技人员的奉献精神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改变了国际关系的整体走向</w:t>
      </w:r>
    </w:p>
    <w:p w14:paraId="77867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20世纪50年代，美国出版的《兔子婚礼》讲述了白兔和黑兔相爱的童话故事。该书传递出“爱不分肤色”的理念，却在1958年遭到南方阿拉巴马州“白人公民委员会”的强烈抗议，被禁止发行。这说明美国（   ）</w:t>
      </w:r>
    </w:p>
    <w:p w14:paraId="7D4DEB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违背了尊重人权的原则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南方仍部分保留奴隶制</w:t>
      </w:r>
    </w:p>
    <w:p w14:paraId="111C05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动物保护主义思想盛行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文学领域恪守陈旧观念</w:t>
      </w:r>
    </w:p>
    <w:p w14:paraId="2C5DDC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二、非选择题：共4题，共55分。</w:t>
      </w:r>
    </w:p>
    <w:p w14:paraId="548FA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3A15E4CA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蔡襄是北宋著名政治家。他任福州知府时，修复五塘等水利设施，“以溉民田，民以为利”。他知泉州时，晋江县东南有龟湖塘，环塘而居的有林、黄、苏、郑四姓，天旱时常因用水纠纷引起械斗。蔡襄为此制定《龟湖塘规》，规定由四姓分管堤岸。据《晋江县志》记载，自蔡襄制定塘规后至明朝五百年间，粮食增产常二三倍于他乡。乡人称他为“近郭水利之最大者”。</w:t>
      </w:r>
    </w:p>
    <w:p w14:paraId="4B1ECAD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——摘编自蔡金发主编《蔡襄及其家世》等</w:t>
      </w:r>
    </w:p>
    <w:p w14:paraId="06928483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道光年间，林则徐主政江苏十余载，以治水为要务，足迹遍及全省各地。苏州府、松江府境内的江河淤塞成患，林则徐主持疏浚娄江、白茆河，首创“海口筑坝设闸”之法，外御海潮倒灌，内泄洪涝入海。他主张“以工代赈”，征民夫浚河，既解民饥馑又治水患。林则徐带人在丹阳上下练湖之间挑挖引河，确保漕运畅通。百姓感念“林公过处，水患化甘霖”。</w:t>
      </w:r>
    </w:p>
    <w:p w14:paraId="64F348A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——摘编自杨国桢《林则徐传》等</w:t>
      </w:r>
    </w:p>
    <w:p w14:paraId="19FF1F70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广东雷州半岛，由于缺乏蓄水工程，雨季常常泛滥，旱季土地龟裂。为解决群众困难，在党的领导下，湛江地方政府决定修建水库和运河。从</w:t>
      </w:r>
      <w:r>
        <w:rPr>
          <w:rFonts w:ascii="Times New Roman" w:hAnsi="Times New Roman" w:eastAsia="Times New Roman" w:cs="Times New Roman"/>
          <w:color w:val="000000"/>
        </w:rPr>
        <w:t>1958</w:t>
      </w:r>
      <w:r>
        <w:rPr>
          <w:rFonts w:ascii="楷体" w:hAnsi="楷体" w:eastAsia="楷体" w:cs="楷体"/>
          <w:color w:val="000000"/>
        </w:rPr>
        <w:t>年起，湛江先后动员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万人，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楷体" w:hAnsi="楷体" w:eastAsia="楷体" w:cs="楷体"/>
          <w:color w:val="000000"/>
        </w:rPr>
        <w:t>%是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楷体" w:hAnsi="楷体" w:eastAsia="楷体" w:cs="楷体"/>
          <w:color w:val="000000"/>
        </w:rPr>
        <w:t>岁以下的青年。施工中除使用少量现代机械外，技术人员还自制空中运土车、牵引车等，大大提高了工作效率。他们建成了鹤地水库，开凿了贯穿雷州半岛的“青年运河”，结束了十年九旱的局面。</w:t>
      </w:r>
    </w:p>
    <w:p w14:paraId="094B63C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——摘编自黄圣《湛江雷州青年运河志》等</w:t>
      </w:r>
    </w:p>
    <w:p w14:paraId="548DB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根据材料一、二，分别概括蔡襄和林则徐治水的举措。</w:t>
      </w:r>
    </w:p>
    <w:p w14:paraId="410685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根据材料三，概括指出湛江治水的特点。</w:t>
      </w:r>
    </w:p>
    <w:p w14:paraId="232D1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根据材料一，二、三并结合所学知识，归纳古今治水的共同经验。</w:t>
      </w:r>
    </w:p>
    <w:p w14:paraId="2ECDD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E3B9FD7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《尚书·禹贡》中“禹别九州”蕴含着“中国一统”的理想建构。唐朝杜佑的《通典·州郡》“以九州为纲”延续了《禹贡》九州的认知。两宋以前，“九州”的中心区域在河洛地区。从元朝开始，南北混一，各民族进一步交往交流交融，突破了《禹贡》九州范围的认知，幽燕地区成为新的中心区域，到清朝前中期中国实现了空前的大一统。</w:t>
      </w:r>
    </w:p>
    <w:p w14:paraId="310CE3D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——摘编自李治安《元明清“华夷一统”到“中华一统”的话语转换》等</w:t>
      </w:r>
    </w:p>
    <w:p w14:paraId="2E1E6A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1857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89B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，用斜线“//////”分别在答题卡上的图1、图2中标示出当时“九州”的中心区域；（要求：每图限标一处，范围大小适中）结合中国古代史知识，就“九州”的认知写一篇历史短文。（要求：论题明确、史论结合、逻辑严谨、表述成文）</w:t>
      </w:r>
    </w:p>
    <w:p w14:paraId="05588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5C42CAD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“下江人”主要指抗日战争时期由上海、江浙等地迁移到重庆等西南大后方的移民群体。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楷体" w:hAnsi="楷体" w:eastAsia="楷体" w:cs="楷体"/>
          <w:color w:val="000000"/>
        </w:rPr>
        <w:t>年以来，上海、江浙等地相继沦陷，大批民众向西南地区内迁。随着移民的到来，重庆的下江馆子乘时崛起，苏州、常州式的小馒头、汤包成为常见的食物。街头“市招飘展，不书南京，即书上海”“南北方言，溢洋于耳”，本地人的方言也多了些国语味道。下江人穿西装旗袍、涂口红等时髦装扮也受到追捧。重庆因下江人的迁入，在市政、交通等现代化建设方面有了较大发展，逐步形成“小上海”风格。随着本地人与下江人不断接触，他们追求婚姻自由、男女平等，共同投身于抗战和大后方建设。</w:t>
      </w:r>
    </w:p>
    <w:p w14:paraId="69AA8D7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——摘编自《张恨水说重庆》等</w:t>
      </w:r>
    </w:p>
    <w:p w14:paraId="05261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根据材料，指出“下江人”移民的特点。</w:t>
      </w:r>
    </w:p>
    <w:p w14:paraId="67E69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根据材料并结合所学知识，说明“下江人”移民重庆的积极作用。</w:t>
      </w:r>
    </w:p>
    <w:p w14:paraId="47B416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柯布西耶是法国著名建筑师。1923年，他在《走向新建筑》一书中提出建筑革命的主张，对20世纪建筑影响巨大。阅读材料，完成下列要求。</w:t>
      </w:r>
    </w:p>
    <w:p w14:paraId="2598B352">
      <w:pPr>
        <w:spacing w:line="360" w:lineRule="auto"/>
        <w:ind w:firstLine="45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现代的建筑关心住宅，为普通而平常的人关心普通而平常的住宅……在这个革新的时期，建筑的首要任务是提出对价值的修正，并重新修正住宅的组成要素……建筑的历史，在过去的许多世纪里，只在构造上和装饰上缓慢地演变，但是最近的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年以来，钢铁和混凝土一路高歌猛进，建造能力有了巨大提高，一些古老的建筑法则为之所抛弃。与过去相比较，我们就会发现那些“风格”对我们来说已经不复存在了，一种属于我们时代的风格已经建立起来，这就是革命。</w:t>
      </w:r>
    </w:p>
    <w:p w14:paraId="6A8F94D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——（法）柯布西耶《走向新建筑》</w:t>
      </w:r>
    </w:p>
    <w:p w14:paraId="791AB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根据材料，柯布西耶建筑革命的主张是革新建筑的价值、____和____。</w:t>
      </w:r>
    </w:p>
    <w:p w14:paraId="351AF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根据材料并结合所学知识，说明柯布西耶提出建筑革命的历史背景。</w:t>
      </w:r>
    </w:p>
    <w:p w14:paraId="34B15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根据材料并结合所学知识，简析柯布西耶建筑革命主张的影响。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58D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3961</Words>
  <Characters>4129</Characters>
  <TotalTime>0</TotalTime>
  <ScaleCrop>false</ScaleCrop>
  <LinksUpToDate>false</LinksUpToDate>
  <CharactersWithSpaces>4296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2025-06-17T02:11:20Z</dcterms:created>
  <dc:creator>何京应</dc:creator>
  <cp:lastModifiedBy>何京应</cp:lastModifiedBy>
  <dcterms:modified xsi:type="dcterms:W3CDTF">2025-06-17T02:11:27Z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AB4217C1C76645C698F1F3EF6EF5B423_12</vt:lpwstr>
  </property>
</Properties>
</file>